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E506" w14:textId="6F9346A5" w:rsidR="00B47B61" w:rsidRPr="00C44029" w:rsidRDefault="00693D9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8F0A8B" id="_x0000_s112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D00EC4" id="_x0000_s112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9FFE23" id="_x0000_s11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LMQIAAEg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34C94C" id="_x0000_s112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296B7891" w14:textId="47F36F5F" w:rsidR="003D6655" w:rsidRPr="003D6655" w:rsidRDefault="00590D3F" w:rsidP="003D6655">
      <w:pPr>
        <w:autoSpaceDE w:val="0"/>
        <w:autoSpaceDN w:val="0"/>
        <w:jc w:val="center"/>
      </w:pPr>
      <w:r w:rsidRPr="003D6655">
        <w:rPr>
          <w:rFonts w:hAnsi="Times New Roman"/>
          <w:noProof/>
        </w:rPr>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9A1E61">
              <w:rPr>
                <w:rFonts w:hAnsi="Times New Roman" w:hint="eastAsia"/>
                <w:w w:val="94"/>
                <w:kern w:val="0"/>
                <w:sz w:val="20"/>
                <w:fitText w:val="800" w:id="-1684723200"/>
              </w:rPr>
              <w:t>人工造</w:t>
            </w:r>
            <w:r w:rsidRPr="009A1E61">
              <w:rPr>
                <w:rFonts w:hAnsi="Times New Roman" w:hint="eastAsia"/>
                <w:spacing w:val="75"/>
                <w:w w:val="94"/>
                <w:kern w:val="0"/>
                <w:sz w:val="20"/>
                <w:fitText w:val="800" w:id="-1684723200"/>
              </w:rPr>
              <w:t>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9A1E61">
              <w:rPr>
                <w:rFonts w:hAnsi="Times New Roman" w:hint="eastAsia"/>
                <w:w w:val="94"/>
                <w:kern w:val="0"/>
                <w:sz w:val="20"/>
                <w:fitText w:val="800" w:id="-1684723199"/>
              </w:rPr>
              <w:t>天然更</w:t>
            </w:r>
            <w:r w:rsidRPr="009A1E61">
              <w:rPr>
                <w:rFonts w:hAnsi="Times New Roman" w:hint="eastAsia"/>
                <w:spacing w:val="75"/>
                <w:w w:val="94"/>
                <w:kern w:val="0"/>
                <w:sz w:val="20"/>
                <w:fitText w:val="800" w:id="-1684723199"/>
              </w:rPr>
              <w:t>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684A805E" w:rsidR="003A6C5D" w:rsidRDefault="003A6C5D">
      <w:pPr>
        <w:widowControl/>
        <w:jc w:val="left"/>
        <w:rPr>
          <w:sz w:val="20"/>
          <w:szCs w:val="20"/>
        </w:rPr>
      </w:pPr>
      <w:r w:rsidRPr="003A6C5D">
        <w:rPr>
          <w:noProof/>
          <w:sz w:val="20"/>
          <w:szCs w:val="20"/>
        </w:rPr>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bookmarkStart w:id="0" w:name="_GoBack"/>
      <w:bookmarkEnd w:id="0"/>
    </w:p>
    <w:sectPr w:rsidR="003A6C5D"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9A1E61" w:rsidRPr="009A1E61">
          <w:rPr>
            <w:noProof/>
            <w:lang w:val="ja-JP"/>
          </w:rPr>
          <w:t>4</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1E61"/>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08A"/>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EDDD-9A54-40D3-A28A-5629F3E1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5</cp:revision>
  <cp:lastPrinted>2022-04-11T08:13:00Z</cp:lastPrinted>
  <dcterms:created xsi:type="dcterms:W3CDTF">2022-04-11T08:17:00Z</dcterms:created>
  <dcterms:modified xsi:type="dcterms:W3CDTF">2022-04-12T02:46:00Z</dcterms:modified>
</cp:coreProperties>
</file>